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441" w:rsidRDefault="00F939E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270441" w:rsidRDefault="00F939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270441" w:rsidRDefault="00F939E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:rsidR="00270441" w:rsidRDefault="00F939E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 2020-2023</w:t>
      </w:r>
    </w:p>
    <w:p w:rsidR="00270441" w:rsidRDefault="00F939E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>
        <w:rPr>
          <w:rFonts w:ascii="Corbel" w:hAnsi="Corbel"/>
          <w:smallCaps/>
          <w:sz w:val="24"/>
          <w:szCs w:val="24"/>
        </w:rPr>
        <w:t>2021/2022</w:t>
      </w:r>
    </w:p>
    <w:p w:rsidR="00270441" w:rsidRDefault="00270441">
      <w:pPr>
        <w:spacing w:after="0" w:line="240" w:lineRule="auto"/>
        <w:rPr>
          <w:rFonts w:ascii="Corbel" w:hAnsi="Corbel"/>
          <w:sz w:val="24"/>
          <w:szCs w:val="24"/>
        </w:rPr>
      </w:pPr>
    </w:p>
    <w:p w:rsidR="00270441" w:rsidRDefault="00F939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33"/>
        <w:gridCol w:w="4648"/>
      </w:tblGrid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Socjologia obszarów wiejskich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S1S[4]F_01-08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Kolegium Nauk Społecznych 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014850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t>Kolegium Nauk Społecznych</w:t>
            </w:r>
            <w:bookmarkStart w:id="0" w:name="_GoBack"/>
            <w:bookmarkEnd w:id="0"/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Socjologia 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sz w:val="23"/>
                <w:szCs w:val="23"/>
              </w:rPr>
              <w:t>I stopnia</w:t>
            </w:r>
            <w:r>
              <w:rPr>
                <w:rFonts w:ascii="Corbel" w:hAnsi="Corbel"/>
                <w:b w:val="0"/>
                <w:sz w:val="23"/>
                <w:szCs w:val="23"/>
              </w:rPr>
              <w:t xml:space="preserve"> 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ogólnoakademicki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stacjonarne 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Rok 2, semestr III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fakultatywny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:rsidR="00270441" w:rsidRDefault="00F939E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70441" w:rsidRDefault="00F939E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270441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70441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0441" w:rsidRDefault="0027044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70441" w:rsidRDefault="00F939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0441" w:rsidRDefault="00F939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Z/O</w:t>
      </w:r>
    </w:p>
    <w:p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Przystąpienie do realizacji danego przedmiotu wymaga wiedzy uzyskanej na przedmiocie Ekonomia, Polityka społeczna, Socjologia ogólna 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:rsidR="00270441" w:rsidRDefault="00F939E3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:rsidR="00270441" w:rsidRDefault="00F939E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492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675"/>
        <w:gridCol w:w="8817"/>
      </w:tblGrid>
      <w:tr w:rsidR="002704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widowControl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 wiedzy z zakresu socjologii mikrostruktur społecznych oraz umiejętności posługiwania się pojęciami teoretycznymi i odnoszenie ich do rzeczywistości życia społecznego w lokalnym środowisku.</w:t>
            </w:r>
          </w:p>
        </w:tc>
      </w:tr>
      <w:tr w:rsidR="002704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widowControl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 kompetencji do współpracy w zespołach oraz kształtowanie postaw prospołecznych przygotowujących do podjęcia zatrudnienia w instytucjach pomocy społecznej i integracji społecznej.</w:t>
            </w:r>
          </w:p>
        </w:tc>
      </w:tr>
      <w:tr w:rsidR="002704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 xml:space="preserve">Kształtowanie umiejętności rozumienia procesów zachodzących na obszarach wiejskich, programów wsparcia. 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70441" w:rsidRDefault="00F939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70441" w:rsidRDefault="0027044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relacje między strukturami i instytucjami społecznymi w regionalnej i lokalnej, zwłaszcza dotyczące obszarów wiejskich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rodzaje więzi społecznych występujących na obszarach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socjologiczne i pozyskuje dane do analizowania konkretnych procesów i zjawisk społecznych w zakresie socjologii obszarów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konkretnych procesów i zjawisk społecznych zachodzących na obszarach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planuje i realizuje uczenie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w pracy w grupie,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270441" w:rsidRDefault="00F939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 nie dotyczy </w:t>
      </w:r>
    </w:p>
    <w:p w:rsidR="00270441" w:rsidRDefault="0027044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270441" w:rsidRDefault="00270441">
      <w:pPr>
        <w:spacing w:after="0" w:line="240" w:lineRule="auto"/>
        <w:rPr>
          <w:rFonts w:ascii="Corbel" w:hAnsi="Corbel"/>
          <w:sz w:val="24"/>
          <w:szCs w:val="24"/>
        </w:rPr>
      </w:pPr>
    </w:p>
    <w:p w:rsidR="00270441" w:rsidRDefault="00F939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70441" w:rsidRDefault="0027044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Definicje społeczności lokalnych i obszarów wiejskich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więzi społecznych w społecznościach lokalnych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Unii Europejskiej wobec obszarów wiejskich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demograficzne na obszarach wiejskich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struktury dochodowej mieszkańców wsi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Kultura wsi w warunkach gospodarki rynkowej i globalizacji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rodziny współczesnej i procesy wewnątrzrodzinne na wsi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mieszkaniowe współczesnej wsi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ekonomiczno-społeczne społeczności wiejskich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Ekologia w zrównoważonym rozwoju obszarów wiejskich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:rsidR="00270441" w:rsidRDefault="0027044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wdrożeniowy, praktyczny), praca w grupach (rozwiązywanie zadań, dyskusja), wizyta studyjna. </w:t>
      </w:r>
    </w:p>
    <w:p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:rsidR="00270441" w:rsidRDefault="0027044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70441" w:rsidRDefault="00F939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270441" w:rsidRDefault="002704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4"/>
        <w:gridCol w:w="6807"/>
        <w:gridCol w:w="2118"/>
      </w:tblGrid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 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– pisemny referat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wizyty studyjnej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wyjazdu studyjnego (skansen, wieś),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:rsidR="00270441" w:rsidRDefault="002704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059"/>
      </w:tblGrid>
      <w:tr w:rsidR="00270441"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10%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10%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Złożenie w terminie sprawozdania z wizyty studyjnej 10%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50%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270441" w:rsidRDefault="0027044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096"/>
        <w:gridCol w:w="3963"/>
      </w:tblGrid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0441" w:rsidRDefault="00F939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70441" w:rsidRDefault="00F939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50"/>
        <w:gridCol w:w="3969"/>
      </w:tblGrid>
      <w:tr w:rsidR="00270441">
        <w:trPr>
          <w:trHeight w:val="39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270441">
        <w:trPr>
          <w:trHeight w:val="39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24"/>
      </w:tblGrid>
      <w:tr w:rsidR="00270441">
        <w:trPr>
          <w:trHeight w:val="397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:rsidR="00270441" w:rsidRDefault="0027044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270441" w:rsidRDefault="00DE2EF6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hyperlink r:id="rId7">
              <w:r w:rsidR="00F939E3"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Polska wieś 2018: raport o stanie wsi,</w:t>
              </w:r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redakcja naukowa Jerzy </w:t>
              </w:r>
              <w:proofErr w:type="spellStart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Wilkin</w:t>
              </w:r>
              <w:proofErr w:type="spellEnd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Iwona Nurzyńska, Wydawnictwo Naukowe Scholar, Warszawa 2018.</w:t>
              </w:r>
            </w:hyperlink>
            <w:r w:rsidR="00F939E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70441" w:rsidRDefault="00DE2EF6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hyperlink r:id="rId8">
              <w:r w:rsidR="00F939E3"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Wiejskie obszary funkcjonalne, </w:t>
              </w:r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red. Mirosław </w:t>
              </w:r>
              <w:proofErr w:type="spellStart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Biczkowski</w:t>
              </w:r>
              <w:proofErr w:type="spellEnd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Leszek Kozłowski, Komisja Obszarów Wiejskich PTG, Instytut Geografii i Przestrzennego Zagospodarowania PAN, Warszawa 2015.</w:t>
              </w:r>
            </w:hyperlink>
          </w:p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Leśniak-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sz w:val="24"/>
                <w:szCs w:val="24"/>
              </w:rPr>
              <w:t>Przemiany wiejskich społeczności lokalnych w odniesieniu do miasta. Studium zmiany społecznej,</w:t>
            </w:r>
            <w:r>
              <w:rPr>
                <w:rFonts w:ascii="Corbel" w:hAnsi="Corbel"/>
                <w:sz w:val="24"/>
                <w:szCs w:val="24"/>
              </w:rPr>
              <w:t xml:space="preserve"> Wydawnictwo Uniwersytetu Rzeszowskiego, Rzeszów 2008. </w:t>
            </w:r>
          </w:p>
          <w:p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Gorlach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K.,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Socjologia Obszarów Wiejskich: Problemy i Perspektywy, </w:t>
            </w:r>
            <w:r>
              <w:rPr>
                <w:rFonts w:ascii="Corbel" w:hAnsi="Corbel"/>
                <w:sz w:val="24"/>
                <w:szCs w:val="24"/>
              </w:rPr>
              <w:t>"Scholar", Warszawa 2004.</w:t>
            </w:r>
          </w:p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Starosta P., </w:t>
            </w:r>
            <w:r>
              <w:rPr>
                <w:rFonts w:ascii="Corbel" w:hAnsi="Corbel"/>
                <w:i/>
                <w:sz w:val="24"/>
                <w:szCs w:val="24"/>
              </w:rPr>
              <w:t>Społeczności lokalne</w:t>
            </w:r>
            <w:r>
              <w:rPr>
                <w:rFonts w:ascii="Corbel" w:hAnsi="Corbel"/>
                <w:sz w:val="24"/>
                <w:szCs w:val="24"/>
              </w:rPr>
              <w:t xml:space="preserve"> [w:]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Encyklopedia socjologii, </w:t>
            </w:r>
            <w:r>
              <w:rPr>
                <w:rFonts w:ascii="Corbel" w:hAnsi="Corbel"/>
                <w:sz w:val="24"/>
                <w:szCs w:val="24"/>
              </w:rPr>
              <w:t>t. 4, Oficyna Naukowa, Warszawa 2002.</w:t>
            </w:r>
          </w:p>
          <w:p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>Lokalność</w:t>
            </w:r>
            <w:r>
              <w:rPr>
                <w:rFonts w:ascii="Corbel" w:hAnsi="Corbel"/>
                <w:sz w:val="24"/>
                <w:szCs w:val="24"/>
              </w:rPr>
              <w:t xml:space="preserve"> [w:] </w:t>
            </w:r>
            <w:r>
              <w:rPr>
                <w:rFonts w:ascii="Corbel" w:hAnsi="Corbel"/>
                <w:i/>
                <w:sz w:val="24"/>
                <w:szCs w:val="24"/>
              </w:rPr>
              <w:t>Encyklopedia socjologii,</w:t>
            </w:r>
            <w:r>
              <w:rPr>
                <w:rFonts w:ascii="Corbel" w:hAnsi="Corbel"/>
                <w:sz w:val="24"/>
                <w:szCs w:val="24"/>
              </w:rPr>
              <w:t xml:space="preserve"> t. 2, Oficyna Naukowa, Warszawa 1999. </w:t>
            </w:r>
          </w:p>
        </w:tc>
      </w:tr>
      <w:tr w:rsidR="00270441">
        <w:trPr>
          <w:trHeight w:val="397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270441" w:rsidRDefault="0027044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270441" w:rsidRDefault="00DE2EF6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hyperlink r:id="rId9">
              <w:r w:rsidR="00F939E3"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Obszary wiejskie w Polsce : różnorodność i procesy różnicowania</w:t>
              </w:r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, red. Hanna </w:t>
              </w:r>
              <w:proofErr w:type="spellStart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Podedworna</w:t>
              </w:r>
              <w:proofErr w:type="spellEnd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Andrzej Pilichowski, Wydawnictwo Instytutu Filozofii i Socjologii PAN, Polskie Towarzystwo Socjologiczne, Warszawa 2011.</w:t>
              </w:r>
            </w:hyperlink>
          </w:p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Stan i zróżnicowanie kultury wsi i małych miast w Polsce. Kanon i rozproszenie,</w:t>
            </w:r>
            <w:r>
              <w:rPr>
                <w:rFonts w:ascii="Corbel" w:hAnsi="Corbel"/>
                <w:sz w:val="24"/>
                <w:szCs w:val="24"/>
              </w:rPr>
              <w:t xml:space="preserve"> red. I.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Bukraba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-Rylska, W. J. Burszta, Narodowe Centrum Kultury, Warszawa 2011.</w:t>
            </w:r>
          </w:p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Gorlach</w:t>
            </w:r>
            <w:proofErr w:type="spellEnd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K.,</w:t>
            </w:r>
            <w:hyperlink r:id="rId10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 poszukiwaniu równowagi : polskie rodzinne gospodarstwa rolne w Unii Europejskiej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>
                <w:rPr>
                  <w:rStyle w:val="czeinternetowe"/>
                  <w:rFonts w:ascii="Corbel" w:hAnsi="Corbel"/>
                  <w:b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, 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Wydawnictwo Uniwersytetu Jagiellońskiego, Kraków 2009.</w:t>
              </w:r>
            </w:hyperlink>
          </w:p>
        </w:tc>
      </w:tr>
    </w:tbl>
    <w:p w:rsidR="00270441" w:rsidRDefault="0027044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70441" w:rsidRDefault="0027044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70441" w:rsidRDefault="00270441"/>
    <w:sectPr w:rsidR="00270441">
      <w:footerReference w:type="default" r:id="rId11"/>
      <w:pgSz w:w="11906" w:h="16838"/>
      <w:pgMar w:top="900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EF6" w:rsidRDefault="00DE2EF6">
      <w:pPr>
        <w:spacing w:after="0" w:line="240" w:lineRule="auto"/>
      </w:pPr>
      <w:r>
        <w:separator/>
      </w:r>
    </w:p>
  </w:endnote>
  <w:endnote w:type="continuationSeparator" w:id="0">
    <w:p w:rsidR="00DE2EF6" w:rsidRDefault="00DE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6776680"/>
      <w:docPartObj>
        <w:docPartGallery w:val="Page Numbers (Bottom of Page)"/>
        <w:docPartUnique/>
      </w:docPartObj>
    </w:sdtPr>
    <w:sdtEndPr/>
    <w:sdtContent>
      <w:p w:rsidR="00270441" w:rsidRDefault="00F939E3">
        <w:pPr>
          <w:pStyle w:val="Stopka"/>
          <w:jc w:val="right"/>
        </w:pPr>
        <w:r>
          <w:rPr>
            <w:lang w:val="pl-PL"/>
          </w:rPr>
          <w:t>4</w:t>
        </w:r>
      </w:p>
    </w:sdtContent>
  </w:sdt>
  <w:p w:rsidR="00270441" w:rsidRDefault="002704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EF6" w:rsidRDefault="00DE2EF6">
      <w:pPr>
        <w:rPr>
          <w:sz w:val="12"/>
        </w:rPr>
      </w:pPr>
      <w:r>
        <w:separator/>
      </w:r>
    </w:p>
  </w:footnote>
  <w:footnote w:type="continuationSeparator" w:id="0">
    <w:p w:rsidR="00DE2EF6" w:rsidRDefault="00DE2EF6">
      <w:pPr>
        <w:rPr>
          <w:sz w:val="12"/>
        </w:rPr>
      </w:pPr>
      <w:r>
        <w:continuationSeparator/>
      </w:r>
    </w:p>
  </w:footnote>
  <w:footnote w:id="1">
    <w:p w:rsidR="00270441" w:rsidRDefault="00F939E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6074E"/>
    <w:multiLevelType w:val="multilevel"/>
    <w:tmpl w:val="DB1E9F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A87F8B"/>
    <w:multiLevelType w:val="multilevel"/>
    <w:tmpl w:val="8BA4BEB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441"/>
    <w:rsid w:val="00014850"/>
    <w:rsid w:val="00270441"/>
    <w:rsid w:val="00DE2EF6"/>
    <w:rsid w:val="00F8775C"/>
    <w:rsid w:val="00F9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C2430-1EF2-4E31-AB4D-C965BD6C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DA3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16DA3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16DA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D16DA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4083F"/>
    <w:rPr>
      <w:rFonts w:ascii="Calibri" w:eastAsia="Cambria" w:hAnsi="Calibri" w:cs="Times New Roman"/>
      <w:sz w:val="24"/>
      <w:szCs w:val="20"/>
      <w:lang w:val="x-none" w:eastAsia="x-non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92200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92200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7977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9220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DA3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D16D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DA3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D16D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D16DA3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D16D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16DA3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D16DA3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D16D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D16DA3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16DA3"/>
    <w:rPr>
      <w:rFonts w:cs="Times New Roman"/>
    </w:rPr>
  </w:style>
  <w:style w:type="paragraph" w:customStyle="1" w:styleId="Default">
    <w:name w:val="Default"/>
    <w:qFormat/>
    <w:rsid w:val="00D16DA3"/>
    <w:rPr>
      <w:rFonts w:ascii="Corbel" w:eastAsia="Calibri" w:hAnsi="Corbel" w:cs="Corbel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4083F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797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996</Words>
  <Characters>5977</Characters>
  <Application>Microsoft Office Word</Application>
  <DocSecurity>0</DocSecurity>
  <Lines>49</Lines>
  <Paragraphs>13</Paragraphs>
  <ScaleCrop>false</ScaleCrop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Admin</cp:lastModifiedBy>
  <cp:revision>11</cp:revision>
  <cp:lastPrinted>2019-11-30T08:24:00Z</cp:lastPrinted>
  <dcterms:created xsi:type="dcterms:W3CDTF">2019-07-24T10:13:00Z</dcterms:created>
  <dcterms:modified xsi:type="dcterms:W3CDTF">2021-01-13T08:54:00Z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